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9E0E6" w14:textId="77777777" w:rsidR="002A3747" w:rsidRDefault="008953A2">
      <w:pPr>
        <w:pStyle w:val="Titre1"/>
        <w:spacing w:line="276" w:lineRule="auto"/>
        <w:jc w:val="both"/>
      </w:pPr>
      <w:bookmarkStart w:id="0" w:name="__RefHeading___Toc2513_679878264"/>
      <w:r>
        <w:rPr>
          <w:b w:val="0"/>
          <w:bCs w:val="0"/>
        </w:rPr>
        <w:t>Annexe </w:t>
      </w:r>
      <w:r>
        <w:t xml:space="preserve">3 </w:t>
      </w:r>
      <w:r>
        <w:rPr>
          <w:b w:val="0"/>
          <w:bCs w:val="0"/>
        </w:rPr>
        <w:t>: pièces constitutives du dossier de candidature (pour chaque</w:t>
      </w:r>
      <w:r>
        <w:rPr>
          <w:b w:val="0"/>
          <w:bCs w:val="0"/>
        </w:rPr>
        <w:t xml:space="preserve"> opération)</w:t>
      </w:r>
      <w:bookmarkEnd w:id="0"/>
    </w:p>
    <w:p w14:paraId="30D9E0E7" w14:textId="77777777" w:rsidR="002A3747" w:rsidRDefault="008953A2">
      <w:pPr>
        <w:pStyle w:val="Textbody"/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Fiche à joindre au dossier</w:t>
      </w:r>
    </w:p>
    <w:p w14:paraId="30D9E0E8" w14:textId="77777777" w:rsidR="002A3747" w:rsidRDefault="002A3747">
      <w:pPr>
        <w:pStyle w:val="Textbody"/>
        <w:spacing w:after="0" w:line="276" w:lineRule="auto"/>
        <w:jc w:val="center"/>
        <w:rPr>
          <w:b/>
          <w:bCs/>
          <w:u w:val="single"/>
        </w:rPr>
      </w:pPr>
    </w:p>
    <w:p w14:paraId="30D9E0E9" w14:textId="77777777" w:rsidR="002A3747" w:rsidRDefault="002A3747">
      <w:pPr>
        <w:pStyle w:val="Textbody"/>
        <w:spacing w:line="276" w:lineRule="auto"/>
        <w:jc w:val="both"/>
        <w:rPr>
          <w:b/>
          <w:bCs/>
          <w:sz w:val="4"/>
          <w:szCs w:val="4"/>
        </w:rPr>
      </w:pPr>
    </w:p>
    <w:p w14:paraId="30D9E0EA" w14:textId="77777777" w:rsidR="002A3747" w:rsidRDefault="008953A2">
      <w:pPr>
        <w:pStyle w:val="Textbody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Nom de l’organisme HLM</w:t>
      </w:r>
      <w:r>
        <w:rPr>
          <w:sz w:val="20"/>
          <w:szCs w:val="20"/>
        </w:rPr>
        <w:t> : _______________________________________________________________________</w:t>
      </w:r>
    </w:p>
    <w:p w14:paraId="30D9E0EB" w14:textId="77777777" w:rsidR="002A3747" w:rsidRDefault="008953A2">
      <w:pPr>
        <w:pStyle w:val="Textbody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Nom de l’opération</w:t>
      </w:r>
      <w:r>
        <w:rPr>
          <w:sz w:val="20"/>
          <w:szCs w:val="20"/>
        </w:rPr>
        <w:t> : _____________________________________________________________________________</w:t>
      </w:r>
    </w:p>
    <w:p w14:paraId="30D9E0EC" w14:textId="77777777" w:rsidR="002A3747" w:rsidRDefault="008953A2">
      <w:pPr>
        <w:pStyle w:val="Textbody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Commune</w:t>
      </w:r>
      <w:r>
        <w:rPr>
          <w:sz w:val="20"/>
          <w:szCs w:val="20"/>
        </w:rPr>
        <w:t> : ________</w:t>
      </w:r>
      <w:r>
        <w:rPr>
          <w:sz w:val="20"/>
          <w:szCs w:val="20"/>
        </w:rPr>
        <w:t>_____________________________________________________________________________</w:t>
      </w:r>
    </w:p>
    <w:p w14:paraId="30D9E0ED" w14:textId="77777777" w:rsidR="002A3747" w:rsidRDefault="008953A2">
      <w:pPr>
        <w:pStyle w:val="Textbody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EPCI / </w:t>
      </w:r>
      <w:proofErr w:type="gramStart"/>
      <w:r>
        <w:rPr>
          <w:b/>
          <w:bCs/>
          <w:sz w:val="20"/>
          <w:szCs w:val="20"/>
        </w:rPr>
        <w:t xml:space="preserve">Département </w:t>
      </w:r>
      <w:r>
        <w:rPr>
          <w:sz w:val="20"/>
          <w:szCs w:val="20"/>
        </w:rPr>
        <w:t> :</w:t>
      </w:r>
      <w:proofErr w:type="gramEnd"/>
      <w:r>
        <w:rPr>
          <w:sz w:val="20"/>
          <w:szCs w:val="20"/>
        </w:rPr>
        <w:t xml:space="preserve"> ____________________________________________________________________________</w:t>
      </w:r>
    </w:p>
    <w:p w14:paraId="30D9E0EE" w14:textId="77777777" w:rsidR="002A3747" w:rsidRDefault="008953A2">
      <w:pPr>
        <w:pStyle w:val="Textbody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Nombre de logements à démolir</w:t>
      </w:r>
      <w:r>
        <w:rPr>
          <w:sz w:val="20"/>
          <w:szCs w:val="20"/>
        </w:rPr>
        <w:t> :  ______</w:t>
      </w:r>
    </w:p>
    <w:p w14:paraId="30D9E0EF" w14:textId="77777777" w:rsidR="002A3747" w:rsidRDefault="008953A2">
      <w:pPr>
        <w:pStyle w:val="Textbody"/>
        <w:spacing w:line="276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Pièces jointes au dossier (cocher les c</w:t>
      </w:r>
      <w:r>
        <w:rPr>
          <w:b/>
          <w:bCs/>
          <w:sz w:val="20"/>
          <w:szCs w:val="20"/>
        </w:rPr>
        <w:t>ases concernées)</w:t>
      </w:r>
      <w:r>
        <w:rPr>
          <w:sz w:val="20"/>
          <w:szCs w:val="20"/>
        </w:rPr>
        <w:t xml:space="preserve"> :</w:t>
      </w:r>
    </w:p>
    <w:p w14:paraId="30D9E0F0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>□</w:t>
      </w:r>
      <w:r>
        <w:rPr>
          <w:rFonts w:eastAsia="Liberation Serif" w:cs="Liberation Serif"/>
          <w:b/>
          <w:bCs/>
          <w:sz w:val="20"/>
          <w:szCs w:val="20"/>
        </w:rPr>
        <w:t xml:space="preserve"> </w:t>
      </w:r>
      <w:r>
        <w:rPr>
          <w:rFonts w:eastAsia="Liberation Serif" w:cs="Liberation Serif"/>
          <w:sz w:val="20"/>
          <w:szCs w:val="20"/>
        </w:rPr>
        <w:t>tableau reprenant les données de l’opération complété (annexe 2)</w:t>
      </w:r>
    </w:p>
    <w:p w14:paraId="30D9E0F1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□ </w:t>
      </w:r>
      <w:r>
        <w:rPr>
          <w:sz w:val="20"/>
          <w:szCs w:val="20"/>
        </w:rPr>
        <w:t>analyse technique, urbaine et sociale justifiant le projet de démolition</w:t>
      </w:r>
    </w:p>
    <w:p w14:paraId="30D9E0F2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□ </w:t>
      </w:r>
      <w:r>
        <w:rPr>
          <w:sz w:val="20"/>
          <w:szCs w:val="20"/>
        </w:rPr>
        <w:t xml:space="preserve">documents graphiques permettant de situer sur le site les démolitions envisagées (plan </w:t>
      </w:r>
      <w:r>
        <w:rPr>
          <w:sz w:val="20"/>
          <w:szCs w:val="20"/>
        </w:rPr>
        <w:t>masse faisant apparaître les bâtiments à démolir, photos et/ou des plans de façades des bâtiments à démolir)</w:t>
      </w:r>
    </w:p>
    <w:p w14:paraId="30D9E0F3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>□</w:t>
      </w:r>
      <w:r>
        <w:rPr>
          <w:rFonts w:eastAsia="Liberation Serif" w:cs="Liberation Serif"/>
          <w:sz w:val="28"/>
          <w:szCs w:val="28"/>
        </w:rPr>
        <w:t xml:space="preserve"> </w:t>
      </w:r>
      <w:r>
        <w:rPr>
          <w:rFonts w:eastAsia="Liberation Serif" w:cs="Liberation Serif"/>
          <w:sz w:val="20"/>
          <w:szCs w:val="20"/>
        </w:rPr>
        <w:t xml:space="preserve">argumentaire et </w:t>
      </w:r>
      <w:r>
        <w:rPr>
          <w:sz w:val="20"/>
          <w:szCs w:val="20"/>
        </w:rPr>
        <w:t>éléments chiffrés permettant de justifier l’inopportunité d’une réhabilitation par rapport à la démolition ;</w:t>
      </w:r>
    </w:p>
    <w:p w14:paraId="30D9E0F4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□ </w:t>
      </w:r>
      <w:r>
        <w:rPr>
          <w:sz w:val="20"/>
          <w:szCs w:val="20"/>
        </w:rPr>
        <w:t>note analytique de la vacance du parc de logements sociaux à l’échelle de l’îlot ou du quartier concerné par la démolition ;</w:t>
      </w:r>
    </w:p>
    <w:p w14:paraId="30D9E0F5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n</w:t>
      </w:r>
      <w:r>
        <w:rPr>
          <w:rFonts w:eastAsia="Liberation Serif" w:cs="Liberation Serif"/>
          <w:sz w:val="20"/>
          <w:szCs w:val="20"/>
        </w:rPr>
        <w:t xml:space="preserve">ote indiquant l’état d’avancement du projet urbain et les grandes options arrêtées (création de voies, traitement des </w:t>
      </w:r>
      <w:proofErr w:type="gramStart"/>
      <w:r>
        <w:rPr>
          <w:rFonts w:eastAsia="Liberation Serif" w:cs="Liberation Serif"/>
          <w:sz w:val="20"/>
          <w:szCs w:val="20"/>
        </w:rPr>
        <w:t>espaces</w:t>
      </w:r>
      <w:proofErr w:type="gramEnd"/>
      <w:r>
        <w:rPr>
          <w:rFonts w:eastAsia="Liberation Serif" w:cs="Liberation Serif"/>
          <w:sz w:val="20"/>
          <w:szCs w:val="20"/>
        </w:rPr>
        <w:t xml:space="preserve"> publics, équipements publics à implanter, etc.) ;</w:t>
      </w:r>
    </w:p>
    <w:p w14:paraId="30D9E0F6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le cas échéant, note précisant les caractéristiques de la reconstitution évent</w:t>
      </w:r>
      <w:r>
        <w:rPr>
          <w:rFonts w:eastAsia="Liberation Serif" w:cs="Liberation Serif"/>
          <w:sz w:val="20"/>
          <w:szCs w:val="20"/>
        </w:rPr>
        <w:t>uelle de l’offre de logements sociaux (localisation, typologies, loyers, etc.) et de la production de logements en diversification ;</w:t>
      </w:r>
    </w:p>
    <w:p w14:paraId="30D9E0F7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note précisant les modalités de concertation engagées ou envisagées sur le projet ;</w:t>
      </w:r>
    </w:p>
    <w:p w14:paraId="30D9E0F8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plan de relogement décliné au semes</w:t>
      </w:r>
      <w:r>
        <w:rPr>
          <w:rFonts w:eastAsia="Liberation Serif" w:cs="Liberation Serif"/>
          <w:sz w:val="20"/>
          <w:szCs w:val="20"/>
        </w:rPr>
        <w:t>tre ou à l’année, mettant en regard, pour chaque période ainsi déclinée, le nombre de ménages à reloger ainsi que leurs conditions de logement initiales (typologies et niveaux de loyers des logements quittés) d’une part, avec, d’autre part, l’offre de relo</w:t>
      </w:r>
      <w:r>
        <w:rPr>
          <w:rFonts w:eastAsia="Liberation Serif" w:cs="Liberation Serif"/>
          <w:sz w:val="20"/>
          <w:szCs w:val="20"/>
        </w:rPr>
        <w:t>gement mobilisable dans l’existant et dans le neuf (dont devront être précisés le volume en nombre de logements, la localisation par quartier, les typologies de logements et niveaux de loyers) ;</w:t>
      </w:r>
    </w:p>
    <w:p w14:paraId="30D9E0F9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attestation de non-commencement des travaux ;</w:t>
      </w:r>
    </w:p>
    <w:p w14:paraId="30D9E0FA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>□</w:t>
      </w:r>
      <w:r>
        <w:rPr>
          <w:rFonts w:eastAsia="Liberation Serif" w:cs="Liberation Serif"/>
          <w:b/>
          <w:bCs/>
          <w:sz w:val="28"/>
          <w:szCs w:val="28"/>
        </w:rPr>
        <w:t xml:space="preserve"> </w:t>
      </w:r>
      <w:r>
        <w:rPr>
          <w:rFonts w:eastAsia="Liberation Serif" w:cs="Liberation Serif"/>
          <w:sz w:val="20"/>
          <w:szCs w:val="20"/>
        </w:rPr>
        <w:t xml:space="preserve">calendrier </w:t>
      </w:r>
      <w:r>
        <w:rPr>
          <w:rFonts w:eastAsia="Liberation Serif" w:cs="Liberation Serif"/>
          <w:sz w:val="20"/>
          <w:szCs w:val="20"/>
        </w:rPr>
        <w:t xml:space="preserve">prévisionnel </w:t>
      </w:r>
      <w:r>
        <w:rPr>
          <w:rFonts w:eastAsia="Liberation Serif" w:cs="Liberation Serif"/>
          <w:sz w:val="20"/>
          <w:szCs w:val="20"/>
        </w:rPr>
        <w:t>de l'opération reprenant les dates de la concertation, de l'enquête sociale, de la consultation de la commune et de celle de l'ABF le cas échéant ;</w:t>
      </w:r>
    </w:p>
    <w:p w14:paraId="30D9E0FB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plan de financeme</w:t>
      </w:r>
      <w:r>
        <w:rPr>
          <w:rFonts w:eastAsia="Liberation Serif" w:cs="Liberation Serif"/>
          <w:sz w:val="20"/>
          <w:szCs w:val="20"/>
        </w:rPr>
        <w:t>nt de l’opération ;</w:t>
      </w:r>
    </w:p>
    <w:p w14:paraId="30D9E0FC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état des capitaux restants dus émanant des organismes prêteurs et calendrier prévisionnel de remboursement anticipé ;</w:t>
      </w:r>
    </w:p>
    <w:p w14:paraId="30D9E0FD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>□</w:t>
      </w:r>
      <w:r>
        <w:rPr>
          <w:rFonts w:eastAsia="Liberation Serif" w:cs="Liberation Serif"/>
          <w:sz w:val="28"/>
          <w:szCs w:val="28"/>
        </w:rPr>
        <w:t xml:space="preserve"> </w:t>
      </w:r>
      <w:r>
        <w:rPr>
          <w:rFonts w:eastAsia="Liberation Serif" w:cs="Liberation Serif"/>
          <w:sz w:val="20"/>
          <w:szCs w:val="20"/>
        </w:rPr>
        <w:t>uniquement en cas de capitaux restants dus : accord préalable des garants des prêts. A défaut, attestation justifi</w:t>
      </w:r>
      <w:r>
        <w:rPr>
          <w:rFonts w:eastAsia="Liberation Serif" w:cs="Liberation Serif"/>
          <w:sz w:val="20"/>
          <w:szCs w:val="20"/>
        </w:rPr>
        <w:t>ant de la demande effectuée auprès des organismes garants ;</w:t>
      </w:r>
    </w:p>
    <w:p w14:paraId="30D9E0FE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accord préalable de la commune d'implantation des logements (délibération municipale ou courrier du Maire) ;</w:t>
      </w:r>
    </w:p>
    <w:p w14:paraId="30D9E0FF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délibération du conseil d’administration de l’organisme décidant l’engagement du pr</w:t>
      </w:r>
      <w:r>
        <w:rPr>
          <w:rFonts w:eastAsia="Liberation Serif" w:cs="Liberation Serif"/>
          <w:sz w:val="20"/>
          <w:szCs w:val="20"/>
        </w:rPr>
        <w:t>ocessus de démolition. A défaut, tout document officiel daté justifiant de l’inscription de la démolition dans la stratégie du bailleur ;</w:t>
      </w:r>
    </w:p>
    <w:p w14:paraId="30D9E100" w14:textId="77777777" w:rsidR="002A3747" w:rsidRDefault="008953A2">
      <w:pPr>
        <w:pStyle w:val="Standard"/>
        <w:spacing w:line="276" w:lineRule="auto"/>
        <w:jc w:val="both"/>
        <w:rPr>
          <w:sz w:val="20"/>
          <w:szCs w:val="20"/>
        </w:rPr>
      </w:pPr>
      <w:r>
        <w:rPr>
          <w:rFonts w:eastAsia="Liberation Serif" w:cs="Liberation Serif"/>
          <w:b/>
          <w:bCs/>
          <w:sz w:val="28"/>
          <w:szCs w:val="28"/>
        </w:rPr>
        <w:t xml:space="preserve">□ </w:t>
      </w:r>
      <w:r>
        <w:rPr>
          <w:rFonts w:eastAsia="Liberation Serif" w:cs="Liberation Serif"/>
          <w:sz w:val="20"/>
          <w:szCs w:val="20"/>
        </w:rPr>
        <w:t>copie de la convention APL.</w:t>
      </w:r>
    </w:p>
    <w:p w14:paraId="30D9E101" w14:textId="77777777" w:rsidR="002A3747" w:rsidRDefault="002A3747">
      <w:pPr>
        <w:pStyle w:val="Standard"/>
        <w:spacing w:line="276" w:lineRule="auto"/>
        <w:jc w:val="both"/>
        <w:rPr>
          <w:color w:val="CE181E"/>
          <w:sz w:val="20"/>
          <w:szCs w:val="20"/>
        </w:rPr>
      </w:pPr>
    </w:p>
    <w:p w14:paraId="30D9E102" w14:textId="77777777" w:rsidR="002A3747" w:rsidRDefault="002A3747">
      <w:pPr>
        <w:pStyle w:val="Standard"/>
        <w:spacing w:line="276" w:lineRule="auto"/>
        <w:jc w:val="both"/>
        <w:rPr>
          <w:sz w:val="22"/>
          <w:szCs w:val="22"/>
        </w:rPr>
      </w:pPr>
    </w:p>
    <w:sectPr w:rsidR="002A3747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E0EA" w14:textId="77777777" w:rsidR="00000000" w:rsidRDefault="008953A2">
      <w:r>
        <w:separator/>
      </w:r>
    </w:p>
  </w:endnote>
  <w:endnote w:type="continuationSeparator" w:id="0">
    <w:p w14:paraId="30D9E0EC" w14:textId="77777777" w:rsidR="00000000" w:rsidRDefault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E0F0" w14:textId="77777777" w:rsidR="00C405EF" w:rsidRDefault="008953A2">
    <w:pPr>
      <w:pStyle w:val="Pieddepage"/>
      <w:rPr>
        <w:i/>
        <w:iCs/>
        <w:sz w:val="16"/>
        <w:szCs w:val="16"/>
      </w:rPr>
    </w:pPr>
    <w:r>
      <w:rPr>
        <w:i/>
        <w:iCs/>
        <w:sz w:val="16"/>
        <w:szCs w:val="16"/>
      </w:rPr>
      <w:t>Aide au financement d’opérations de démolition sur crédits FNAP 2022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>
      <w:rPr>
        <w:i/>
        <w:iCs/>
        <w:sz w:val="16"/>
        <w:szCs w:val="16"/>
      </w:rPr>
      <w:fldChar w:fldCharType="separate"/>
    </w:r>
    <w:r>
      <w:rPr>
        <w:i/>
        <w:iCs/>
        <w:sz w:val="16"/>
        <w:szCs w:val="16"/>
      </w:rPr>
      <w:t>7</w:t>
    </w:r>
    <w:r>
      <w:rPr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9E0E6" w14:textId="77777777" w:rsidR="00000000" w:rsidRDefault="008953A2">
      <w:r>
        <w:rPr>
          <w:color w:val="000000"/>
        </w:rPr>
        <w:separator/>
      </w:r>
    </w:p>
  </w:footnote>
  <w:footnote w:type="continuationSeparator" w:id="0">
    <w:p w14:paraId="30D9E0E8" w14:textId="77777777" w:rsidR="00000000" w:rsidRDefault="008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E0EE" w14:textId="77777777" w:rsidR="00C405EF" w:rsidRDefault="008953A2">
    <w:pPr>
      <w:pStyle w:val="En-tte"/>
      <w:rPr>
        <w:i/>
        <w:iCs/>
        <w:sz w:val="16"/>
        <w:szCs w:val="16"/>
      </w:rPr>
    </w:pPr>
    <w:r>
      <w:rPr>
        <w:i/>
        <w:iCs/>
        <w:sz w:val="16"/>
        <w:szCs w:val="16"/>
      </w:rPr>
      <w:t>DREAL Hauts-de-France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ab/>
      <w:t>ECLAT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3747"/>
    <w:rsid w:val="002A3747"/>
    <w:rsid w:val="0089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E0E6"/>
  <w15:docId w15:val="{2514B45E-A171-47A6-A586-D896115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Liberation Serif" w:eastAsia="Liberation Serif" w:hAnsi="Liberation Serif" w:cs="Liberation Serif"/>
      <w:b/>
      <w:bCs/>
    </w:rPr>
  </w:style>
  <w:style w:type="paragraph" w:styleId="Titre2">
    <w:name w:val="heading 2"/>
    <w:basedOn w:val="Heading"/>
    <w:uiPriority w:val="9"/>
    <w:semiHidden/>
    <w:unhideWhenUsed/>
    <w:qFormat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  <w:sz w:val="20"/>
      <w:szCs w:val="20"/>
    </w:r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m-HistoriqueVersions">
    <w:name w:val="m-HistoriqueVersions"/>
    <w:pPr>
      <w:spacing w:after="120"/>
    </w:pPr>
    <w:rPr>
      <w:rFonts w:ascii="Liberation Sans" w:eastAsia="Arial Unicode MS" w:hAnsi="Liberation Sans" w:cs="Tahoma"/>
      <w:b/>
      <w:sz w:val="28"/>
      <w:lang w:bidi="fr-FR"/>
    </w:rPr>
  </w:style>
  <w:style w:type="paragraph" w:customStyle="1" w:styleId="TableContents">
    <w:name w:val="Table Contents"/>
    <w:pPr>
      <w:suppressLineNumbers/>
    </w:pPr>
    <w:rPr>
      <w:rFonts w:ascii="Times New Roman" w:eastAsia="Arial Unicode MS" w:hAnsi="Times New Roman" w:cs="Tahoma"/>
      <w:sz w:val="20"/>
      <w:lang w:bidi="fr-F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  <w:spacing w:line="100" w:lineRule="atLeast"/>
    </w:pPr>
    <w:rPr>
      <w:rFonts w:eastAsia="Liberation Sans" w:cs="Liberation Sans"/>
      <w:b/>
      <w:bCs/>
      <w:i/>
      <w:sz w:val="48"/>
      <w:szCs w:val="32"/>
    </w:rPr>
  </w:style>
  <w:style w:type="paragraph" w:customStyle="1" w:styleId="Contents1">
    <w:name w:val="Contents 1"/>
    <w:basedOn w:val="Standard"/>
    <w:next w:val="Standard"/>
    <w:pPr>
      <w:tabs>
        <w:tab w:val="right" w:pos="12755"/>
      </w:tabs>
      <w:spacing w:before="360" w:line="100" w:lineRule="atLeast"/>
      <w:ind w:left="850"/>
    </w:pPr>
    <w:rPr>
      <w:rFonts w:ascii="Liberation Sans" w:eastAsia="Liberation Sans" w:hAnsi="Liberation Sans" w:cs="Liberation Sans"/>
      <w:b/>
      <w:bCs/>
      <w:caps/>
      <w:szCs w:val="34"/>
    </w:rPr>
  </w:style>
  <w:style w:type="paragraph" w:customStyle="1" w:styleId="Contents2">
    <w:name w:val="Contents 2"/>
    <w:basedOn w:val="Standard"/>
    <w:next w:val="Standard"/>
    <w:pPr>
      <w:tabs>
        <w:tab w:val="right" w:pos="12177"/>
      </w:tabs>
      <w:spacing w:before="120" w:line="240" w:lineRule="exact"/>
      <w:ind w:left="850"/>
    </w:pPr>
    <w:rPr>
      <w:rFonts w:ascii="Liberation Sans" w:eastAsia="Liberation Sans" w:hAnsi="Liberation Sans" w:cs="Liberation Sans"/>
      <w:bCs/>
      <w:szCs w:val="30"/>
    </w:r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Pr>
      <w:sz w:val="21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IndexLink">
    <w:name w:val="Index Link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650DA451C57448A7E722C7A15F355" ma:contentTypeVersion="13" ma:contentTypeDescription="Crée un document." ma:contentTypeScope="" ma:versionID="500986a56ce7030874014a4cf075e37a">
  <xsd:schema xmlns:xsd="http://www.w3.org/2001/XMLSchema" xmlns:xs="http://www.w3.org/2001/XMLSchema" xmlns:p="http://schemas.microsoft.com/office/2006/metadata/properties" xmlns:ns2="abc33e8c-53b8-418b-bb4b-c4c3449b10b9" xmlns:ns3="cce0d6b4-0398-4006-9f7a-a25a059f3228" targetNamespace="http://schemas.microsoft.com/office/2006/metadata/properties" ma:root="true" ma:fieldsID="cc5574f6a562bacfc9a8cb1af990538e" ns2:_="" ns3:_="">
    <xsd:import namespace="abc33e8c-53b8-418b-bb4b-c4c3449b10b9"/>
    <xsd:import namespace="cce0d6b4-0398-4006-9f7a-a25a059f3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33e8c-53b8-418b-bb4b-c4c3449b1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0d6b4-0398-4006-9f7a-a25a059f3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DE45BD-EF4D-43BA-9E06-C3C2918AF862}"/>
</file>

<file path=customXml/itemProps2.xml><?xml version="1.0" encoding="utf-8"?>
<ds:datastoreItem xmlns:ds="http://schemas.openxmlformats.org/officeDocument/2006/customXml" ds:itemID="{21FC902D-6137-433F-B298-E9D3BAA3B7FF}"/>
</file>

<file path=customXml/itemProps3.xml><?xml version="1.0" encoding="utf-8"?>
<ds:datastoreItem xmlns:ds="http://schemas.openxmlformats.org/officeDocument/2006/customXml" ds:itemID="{E1EFFD76-E026-4B76-A4C0-9E9391E47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François DELHAYE</cp:lastModifiedBy>
  <cp:revision>2</cp:revision>
  <dcterms:created xsi:type="dcterms:W3CDTF">2022-04-26T12:14:00Z</dcterms:created>
  <dcterms:modified xsi:type="dcterms:W3CDTF">2022-04-26T12:14:00Z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0x0101003CE650DA451C57448A7E722C7A15F355</vt:lpwstr>
  </property>
</Properties>
</file>